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2427"/>
        <w:gridCol w:w="5421"/>
        <w:gridCol w:w="1728"/>
      </w:tblGrid>
      <w:tr w:rsidR="00914891" w:rsidTr="00CD5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:rsidR="00914891" w:rsidRDefault="00914891" w:rsidP="00914891">
            <w:pPr>
              <w:jc w:val="center"/>
            </w:pPr>
            <w:r>
              <w:t>Worksheet</w:t>
            </w:r>
          </w:p>
        </w:tc>
        <w:tc>
          <w:tcPr>
            <w:tcW w:w="5421" w:type="dxa"/>
          </w:tcPr>
          <w:p w:rsidR="00914891" w:rsidRDefault="00914891" w:rsidP="00914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Explanation/Use</w:t>
            </w:r>
          </w:p>
        </w:tc>
        <w:tc>
          <w:tcPr>
            <w:tcW w:w="1728" w:type="dxa"/>
          </w:tcPr>
          <w:p w:rsidR="00914891" w:rsidRDefault="00914891" w:rsidP="00914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Recommended Grade level</w:t>
            </w:r>
            <w:r w:rsidR="00EC3968">
              <w:t>/Core Standards</w:t>
            </w:r>
          </w:p>
        </w:tc>
      </w:tr>
      <w:tr w:rsidR="00914891" w:rsidTr="00CD5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:rsidR="00914891" w:rsidRPr="00914891" w:rsidRDefault="00914891" w:rsidP="00914891">
            <w:pPr>
              <w:rPr>
                <w:b w:val="0"/>
              </w:rPr>
            </w:pPr>
            <w:r>
              <w:rPr>
                <w:b w:val="0"/>
              </w:rPr>
              <w:t>Looking for Light</w:t>
            </w:r>
          </w:p>
        </w:tc>
        <w:tc>
          <w:tcPr>
            <w:tcW w:w="5421" w:type="dxa"/>
          </w:tcPr>
          <w:p w:rsidR="00914891" w:rsidRPr="00914891" w:rsidRDefault="00914891" w:rsidP="00914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 easy worksheet identifying light sources. Recommended to be used after a visit to SUSV for the tour “From Wick to Switch”</w:t>
            </w:r>
          </w:p>
        </w:tc>
        <w:tc>
          <w:tcPr>
            <w:tcW w:w="1728" w:type="dxa"/>
          </w:tcPr>
          <w:p w:rsidR="00914891" w:rsidRPr="00914891" w:rsidRDefault="00914891" w:rsidP="00914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914891">
              <w:rPr>
                <w:vertAlign w:val="superscript"/>
              </w:rPr>
              <w:t>nd</w:t>
            </w:r>
            <w:r>
              <w:t xml:space="preserve"> and 3</w:t>
            </w:r>
            <w:r w:rsidRPr="00914891">
              <w:rPr>
                <w:vertAlign w:val="superscript"/>
              </w:rPr>
              <w:t>rd</w:t>
            </w:r>
            <w:r>
              <w:t xml:space="preserve"> grade</w:t>
            </w:r>
          </w:p>
        </w:tc>
      </w:tr>
      <w:tr w:rsidR="00914891" w:rsidTr="00CD5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:rsidR="00914891" w:rsidRPr="00914891" w:rsidRDefault="00914891" w:rsidP="00914891">
            <w:pPr>
              <w:rPr>
                <w:b w:val="0"/>
              </w:rPr>
            </w:pPr>
            <w:r>
              <w:rPr>
                <w:b w:val="0"/>
              </w:rPr>
              <w:t>Math by Candlelight</w:t>
            </w:r>
          </w:p>
        </w:tc>
        <w:tc>
          <w:tcPr>
            <w:tcW w:w="5421" w:type="dxa"/>
          </w:tcPr>
          <w:p w:rsidR="00914891" w:rsidRPr="00914891" w:rsidRDefault="00914891" w:rsidP="00914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 worksheet relating information gained during a SUSV tour “From Wick to Switch” and applying to multiplication and division problems with base ten operations.</w:t>
            </w:r>
          </w:p>
        </w:tc>
        <w:tc>
          <w:tcPr>
            <w:tcW w:w="1728" w:type="dxa"/>
          </w:tcPr>
          <w:p w:rsidR="00914891" w:rsidRPr="00914891" w:rsidRDefault="00914891" w:rsidP="009148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Pr="00914891">
              <w:rPr>
                <w:vertAlign w:val="superscript"/>
              </w:rPr>
              <w:t>rd</w:t>
            </w:r>
            <w:r>
              <w:t xml:space="preserve"> and up</w:t>
            </w:r>
            <w:r w:rsidR="00EC3968">
              <w:t>/3.OA</w:t>
            </w:r>
          </w:p>
        </w:tc>
      </w:tr>
      <w:tr w:rsidR="00914891" w:rsidTr="00CD5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:rsidR="00914891" w:rsidRPr="00914891" w:rsidRDefault="00EC3968" w:rsidP="00914891">
            <w:pPr>
              <w:rPr>
                <w:b w:val="0"/>
              </w:rPr>
            </w:pPr>
            <w:r>
              <w:rPr>
                <w:b w:val="0"/>
              </w:rPr>
              <w:t>Shaker Artifacts</w:t>
            </w:r>
          </w:p>
        </w:tc>
        <w:tc>
          <w:tcPr>
            <w:tcW w:w="5421" w:type="dxa"/>
          </w:tcPr>
          <w:p w:rsidR="00914891" w:rsidRPr="00914891" w:rsidRDefault="00EC3968" w:rsidP="00914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this worksheet students identify and explain items used by Shakers in their daily life, many of which were invented by them.  This worksheet can be used to f</w:t>
            </w:r>
            <w:r w:rsidR="00FD4313">
              <w:t>ollow up any general tour.</w:t>
            </w:r>
          </w:p>
        </w:tc>
        <w:tc>
          <w:tcPr>
            <w:tcW w:w="1728" w:type="dxa"/>
          </w:tcPr>
          <w:p w:rsidR="00914891" w:rsidRDefault="00FD4313" w:rsidP="00914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00FD4313">
              <w:rPr>
                <w:vertAlign w:val="superscript"/>
              </w:rPr>
              <w:t>rd</w:t>
            </w:r>
            <w:r>
              <w:t xml:space="preserve"> and up</w:t>
            </w:r>
          </w:p>
          <w:p w:rsidR="00FD4313" w:rsidRDefault="00FD4313" w:rsidP="00914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SS-P-HP-U-1, </w:t>
            </w:r>
          </w:p>
          <w:p w:rsidR="00FD4313" w:rsidRDefault="00FD4313" w:rsidP="00914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SS-EP-5.1.1,</w:t>
            </w:r>
          </w:p>
          <w:p w:rsidR="00FD4313" w:rsidRPr="00914891" w:rsidRDefault="00FD4313" w:rsidP="00914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SS-P-HP-S-2</w:t>
            </w:r>
          </w:p>
        </w:tc>
      </w:tr>
      <w:tr w:rsidR="00914891" w:rsidTr="00CD5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:rsidR="00914891" w:rsidRPr="00914891" w:rsidRDefault="00FD4313" w:rsidP="00914891">
            <w:pPr>
              <w:rPr>
                <w:b w:val="0"/>
              </w:rPr>
            </w:pPr>
            <w:r>
              <w:rPr>
                <w:b w:val="0"/>
              </w:rPr>
              <w:t>Tools of the Trade: Textiles</w:t>
            </w:r>
          </w:p>
        </w:tc>
        <w:tc>
          <w:tcPr>
            <w:tcW w:w="5421" w:type="dxa"/>
          </w:tcPr>
          <w:p w:rsidR="00914891" w:rsidRPr="00914891" w:rsidRDefault="00FD4313" w:rsidP="00914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This worksheet is designed to be used during the tour for students to identify items related to textile use. This can be used during a general tour or in association with the “Sheep to Shawl” program.</w:t>
            </w:r>
          </w:p>
        </w:tc>
        <w:tc>
          <w:tcPr>
            <w:tcW w:w="1728" w:type="dxa"/>
          </w:tcPr>
          <w:p w:rsidR="00914891" w:rsidRDefault="00FD4313" w:rsidP="009148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Pr="00FD4313">
              <w:rPr>
                <w:vertAlign w:val="superscript"/>
              </w:rPr>
              <w:t>rd</w:t>
            </w:r>
            <w:r>
              <w:t xml:space="preserve"> and up</w:t>
            </w:r>
          </w:p>
          <w:p w:rsidR="00FD4313" w:rsidRDefault="00FD4313" w:rsidP="009148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SS-P-HP-U-1, </w:t>
            </w:r>
          </w:p>
          <w:p w:rsidR="00FD4313" w:rsidRDefault="00FD4313" w:rsidP="009148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SS-P-HP-S-1</w:t>
            </w:r>
            <w:r w:rsidR="00105B49">
              <w:t>,</w:t>
            </w:r>
          </w:p>
          <w:p w:rsidR="00105B49" w:rsidRDefault="00105B49" w:rsidP="009148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SS-4-HP-U-1,</w:t>
            </w:r>
          </w:p>
          <w:p w:rsidR="00105B49" w:rsidRDefault="00105B49" w:rsidP="009148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SS-4-HP-S-1&amp;2</w:t>
            </w:r>
          </w:p>
          <w:p w:rsidR="00105B49" w:rsidRDefault="00105B49" w:rsidP="009148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SS-06-5.1.1,</w:t>
            </w:r>
          </w:p>
          <w:p w:rsidR="00105B49" w:rsidRDefault="00105B49" w:rsidP="009148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SS-08-5.1.1,</w:t>
            </w:r>
          </w:p>
          <w:p w:rsidR="00105B49" w:rsidRPr="00914891" w:rsidRDefault="00105B49" w:rsidP="009148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SS-08-5.1.2</w:t>
            </w:r>
          </w:p>
        </w:tc>
      </w:tr>
      <w:tr w:rsidR="00914891" w:rsidTr="00CD5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:rsidR="00914891" w:rsidRPr="00914891" w:rsidRDefault="004C79C9" w:rsidP="00914891">
            <w:pPr>
              <w:rPr>
                <w:b w:val="0"/>
              </w:rPr>
            </w:pPr>
            <w:r>
              <w:rPr>
                <w:b w:val="0"/>
              </w:rPr>
              <w:t>A Shaker Christmas and My Christmas</w:t>
            </w:r>
          </w:p>
        </w:tc>
        <w:tc>
          <w:tcPr>
            <w:tcW w:w="5421" w:type="dxa"/>
          </w:tcPr>
          <w:p w:rsidR="00914891" w:rsidRPr="00914891" w:rsidRDefault="004C79C9" w:rsidP="00914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participating in the “Christmas with the Shakers” tour, students are invited to compare their own Christmas traditions with the Shaker Christmas traditions they learned about on the tour</w:t>
            </w:r>
          </w:p>
        </w:tc>
        <w:tc>
          <w:tcPr>
            <w:tcW w:w="1728" w:type="dxa"/>
          </w:tcPr>
          <w:p w:rsidR="00914891" w:rsidRDefault="00AF62A3" w:rsidP="00914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AF62A3">
              <w:rPr>
                <w:vertAlign w:val="superscript"/>
              </w:rPr>
              <w:t>st</w:t>
            </w:r>
            <w:r w:rsidR="004C79C9">
              <w:t xml:space="preserve"> grade and up</w:t>
            </w:r>
          </w:p>
          <w:p w:rsidR="00AF62A3" w:rsidRDefault="00AF62A3" w:rsidP="00914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Reading Standards: Integration of Knowledge and Ideas</w:t>
            </w:r>
          </w:p>
          <w:p w:rsidR="004C79C9" w:rsidRPr="00914891" w:rsidRDefault="004C79C9" w:rsidP="00914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4891" w:rsidTr="00CD5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:rsidR="00914891" w:rsidRPr="00914891" w:rsidRDefault="00A35723" w:rsidP="00914891">
            <w:pPr>
              <w:rPr>
                <w:b w:val="0"/>
              </w:rPr>
            </w:pPr>
            <w:r>
              <w:rPr>
                <w:b w:val="0"/>
              </w:rPr>
              <w:t>Sequencing Chain</w:t>
            </w:r>
          </w:p>
        </w:tc>
        <w:tc>
          <w:tcPr>
            <w:tcW w:w="5421" w:type="dxa"/>
          </w:tcPr>
          <w:p w:rsidR="00914891" w:rsidRPr="00914891" w:rsidRDefault="00A35723" w:rsidP="00914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sequencing chain worksheet can be applied to show comprehension after the “Sheep to Shawl” or “Brooms and Broom-Making: Shaker Ingenuity” programs.</w:t>
            </w:r>
          </w:p>
        </w:tc>
        <w:tc>
          <w:tcPr>
            <w:tcW w:w="1728" w:type="dxa"/>
          </w:tcPr>
          <w:p w:rsidR="00914891" w:rsidRDefault="00152342" w:rsidP="009148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Pr="00152342">
              <w:rPr>
                <w:vertAlign w:val="superscript"/>
              </w:rPr>
              <w:t>st</w:t>
            </w:r>
            <w:r>
              <w:t xml:space="preserve"> grade and up</w:t>
            </w:r>
          </w:p>
          <w:p w:rsidR="00152342" w:rsidRPr="00152342" w:rsidRDefault="00152342" w:rsidP="009148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152342">
              <w:rPr>
                <w:sz w:val="18"/>
              </w:rPr>
              <w:t>Reading Standards: Key Ideas and Details, Integration of Knowledge and Ideas.</w:t>
            </w:r>
          </w:p>
          <w:p w:rsidR="00152342" w:rsidRPr="00152342" w:rsidRDefault="00152342" w:rsidP="009148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152342">
              <w:rPr>
                <w:sz w:val="18"/>
              </w:rPr>
              <w:t>Writing Standards: Research to Build and Present Knowledge.</w:t>
            </w:r>
          </w:p>
          <w:p w:rsidR="00152342" w:rsidRPr="00914891" w:rsidRDefault="00152342" w:rsidP="009148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2342">
              <w:rPr>
                <w:sz w:val="18"/>
              </w:rPr>
              <w:t>Speaking and Listening Standards: Comprehension, Presentation.</w:t>
            </w:r>
          </w:p>
        </w:tc>
      </w:tr>
      <w:tr w:rsidR="00914891" w:rsidTr="00CD5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:rsidR="00914891" w:rsidRPr="00914891" w:rsidRDefault="00AC1296" w:rsidP="00914891">
            <w:pPr>
              <w:rPr>
                <w:b w:val="0"/>
              </w:rPr>
            </w:pPr>
            <w:r>
              <w:rPr>
                <w:b w:val="0"/>
              </w:rPr>
              <w:t>Writing Prompts</w:t>
            </w:r>
          </w:p>
        </w:tc>
        <w:tc>
          <w:tcPr>
            <w:tcW w:w="5421" w:type="dxa"/>
          </w:tcPr>
          <w:p w:rsidR="00914891" w:rsidRPr="00914891" w:rsidRDefault="00AC1296" w:rsidP="00914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worksheet offers a variety of writing prompts for many levels asking students to use both comprehension and imagination in these follow-up activities.</w:t>
            </w:r>
          </w:p>
        </w:tc>
        <w:tc>
          <w:tcPr>
            <w:tcW w:w="1728" w:type="dxa"/>
          </w:tcPr>
          <w:p w:rsidR="00914891" w:rsidRDefault="00AC1296" w:rsidP="00914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Various grades/</w:t>
            </w:r>
          </w:p>
          <w:p w:rsidR="00AC1296" w:rsidRPr="00914891" w:rsidRDefault="00AC1296" w:rsidP="00914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Reading, Writing, and Comprehension Standards</w:t>
            </w:r>
          </w:p>
        </w:tc>
      </w:tr>
      <w:tr w:rsidR="00AC1296" w:rsidTr="00CD5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:rsidR="00AC1296" w:rsidRDefault="00012493" w:rsidP="00914891">
            <w:pPr>
              <w:rPr>
                <w:b w:val="0"/>
              </w:rPr>
            </w:pPr>
            <w:r>
              <w:rPr>
                <w:b w:val="0"/>
              </w:rPr>
              <w:lastRenderedPageBreak/>
              <w:t>Write it Right! Word Scramble</w:t>
            </w:r>
          </w:p>
        </w:tc>
        <w:tc>
          <w:tcPr>
            <w:tcW w:w="5421" w:type="dxa"/>
          </w:tcPr>
          <w:p w:rsidR="00AC1296" w:rsidRDefault="00012493" w:rsidP="00914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 fun worksheet for kids to enjoy after a visit to SUSV</w:t>
            </w:r>
          </w:p>
        </w:tc>
        <w:tc>
          <w:tcPr>
            <w:tcW w:w="1728" w:type="dxa"/>
          </w:tcPr>
          <w:p w:rsidR="00012493" w:rsidRDefault="00012493" w:rsidP="000124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Pr="00012493">
              <w:rPr>
                <w:vertAlign w:val="superscript"/>
              </w:rPr>
              <w:t>th</w:t>
            </w:r>
            <w:r>
              <w:t xml:space="preserve"> and up/</w:t>
            </w:r>
          </w:p>
          <w:p w:rsidR="00012493" w:rsidRDefault="00012493" w:rsidP="000124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Reading Standards: Phonetics and Word Recognition</w:t>
            </w:r>
          </w:p>
          <w:p w:rsidR="00012493" w:rsidRDefault="00012493" w:rsidP="000124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12493" w:rsidTr="00CD5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:rsidR="00012493" w:rsidRDefault="00012493" w:rsidP="00914891">
            <w:pPr>
              <w:rPr>
                <w:b w:val="0"/>
              </w:rPr>
            </w:pPr>
            <w:r>
              <w:rPr>
                <w:b w:val="0"/>
              </w:rPr>
              <w:t>Shaker Word Search</w:t>
            </w:r>
          </w:p>
        </w:tc>
        <w:tc>
          <w:tcPr>
            <w:tcW w:w="5421" w:type="dxa"/>
          </w:tcPr>
          <w:p w:rsidR="00012493" w:rsidRDefault="00012493" w:rsidP="00914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word search features art</w:t>
            </w:r>
            <w:r w:rsidR="00CD5A7A">
              <w:t>ifacts made and used by Shakers</w:t>
            </w:r>
            <w:r>
              <w:t xml:space="preserve"> and can be enjoyed after a visit to SUSV within any program.</w:t>
            </w:r>
          </w:p>
        </w:tc>
        <w:tc>
          <w:tcPr>
            <w:tcW w:w="1728" w:type="dxa"/>
          </w:tcPr>
          <w:p w:rsidR="00012493" w:rsidRDefault="00012493" w:rsidP="0001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Pr="00012493">
              <w:rPr>
                <w:vertAlign w:val="superscript"/>
              </w:rPr>
              <w:t>th</w:t>
            </w:r>
            <w:r>
              <w:t xml:space="preserve"> and up/</w:t>
            </w:r>
          </w:p>
          <w:p w:rsidR="00012493" w:rsidRDefault="00012493" w:rsidP="00012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Reading Standards: Phonetics and Word Recognition</w:t>
            </w:r>
          </w:p>
        </w:tc>
      </w:tr>
      <w:tr w:rsidR="00CD5A7A" w:rsidTr="00CD5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</w:tcPr>
          <w:p w:rsidR="00CD5A7A" w:rsidRDefault="00CD5A7A" w:rsidP="00914891">
            <w:pPr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5421" w:type="dxa"/>
          </w:tcPr>
          <w:p w:rsidR="00CD5A7A" w:rsidRDefault="00CD5A7A" w:rsidP="009148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28" w:type="dxa"/>
          </w:tcPr>
          <w:p w:rsidR="00CD5A7A" w:rsidRDefault="00CD5A7A" w:rsidP="000124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14891" w:rsidRDefault="00914891"/>
    <w:sectPr w:rsidR="009148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13" w:rsidRDefault="00436913" w:rsidP="00012493">
      <w:pPr>
        <w:spacing w:after="0" w:line="240" w:lineRule="auto"/>
      </w:pPr>
      <w:r>
        <w:separator/>
      </w:r>
    </w:p>
  </w:endnote>
  <w:endnote w:type="continuationSeparator" w:id="0">
    <w:p w:rsidR="00436913" w:rsidRDefault="00436913" w:rsidP="0001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13" w:rsidRDefault="00436913" w:rsidP="00012493">
      <w:pPr>
        <w:spacing w:after="0" w:line="240" w:lineRule="auto"/>
      </w:pPr>
      <w:r>
        <w:separator/>
      </w:r>
    </w:p>
  </w:footnote>
  <w:footnote w:type="continuationSeparator" w:id="0">
    <w:p w:rsidR="00436913" w:rsidRDefault="00436913" w:rsidP="0001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32"/>
      </w:rPr>
      <w:alias w:val="Title"/>
      <w:id w:val="77738743"/>
      <w:placeholder>
        <w:docPart w:val="81F662C53F4E42D9A3912B16C29BEB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12493" w:rsidRDefault="0001249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D5A7A">
          <w:rPr>
            <w:rFonts w:asciiTheme="majorHAnsi" w:eastAsiaTheme="majorEastAsia" w:hAnsiTheme="majorHAnsi" w:cstheme="majorBidi"/>
            <w:sz w:val="28"/>
            <w:szCs w:val="32"/>
          </w:rPr>
          <w:t>List and Explanation of Worksheets</w:t>
        </w:r>
        <w:r w:rsidR="00CD5A7A" w:rsidRPr="00CD5A7A">
          <w:rPr>
            <w:rFonts w:asciiTheme="majorHAnsi" w:eastAsiaTheme="majorEastAsia" w:hAnsiTheme="majorHAnsi" w:cstheme="majorBidi"/>
            <w:sz w:val="28"/>
            <w:szCs w:val="32"/>
          </w:rPr>
          <w:t xml:space="preserve">:                             </w:t>
        </w:r>
        <w:r w:rsidR="00CD5A7A">
          <w:rPr>
            <w:rFonts w:asciiTheme="majorHAnsi" w:eastAsiaTheme="majorEastAsia" w:hAnsiTheme="majorHAnsi" w:cstheme="majorBidi"/>
            <w:sz w:val="28"/>
            <w:szCs w:val="32"/>
          </w:rPr>
          <w:t xml:space="preserve">            </w:t>
        </w:r>
        <w:r w:rsidR="00CD5A7A" w:rsidRPr="00CD5A7A">
          <w:rPr>
            <w:rFonts w:asciiTheme="majorHAnsi" w:eastAsiaTheme="majorEastAsia" w:hAnsiTheme="majorHAnsi" w:cstheme="majorBidi"/>
            <w:sz w:val="28"/>
            <w:szCs w:val="32"/>
          </w:rPr>
          <w:t xml:space="preserve">                               South Union Shaker Village</w:t>
        </w:r>
      </w:p>
    </w:sdtContent>
  </w:sdt>
  <w:p w:rsidR="00012493" w:rsidRDefault="000124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91"/>
    <w:rsid w:val="00012493"/>
    <w:rsid w:val="00105B49"/>
    <w:rsid w:val="00152342"/>
    <w:rsid w:val="001E721B"/>
    <w:rsid w:val="00436913"/>
    <w:rsid w:val="004C79C9"/>
    <w:rsid w:val="008C42C4"/>
    <w:rsid w:val="00914891"/>
    <w:rsid w:val="0099304E"/>
    <w:rsid w:val="00A35723"/>
    <w:rsid w:val="00AC1296"/>
    <w:rsid w:val="00AF62A3"/>
    <w:rsid w:val="00CD5A7A"/>
    <w:rsid w:val="00EC3968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914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12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493"/>
  </w:style>
  <w:style w:type="paragraph" w:styleId="Footer">
    <w:name w:val="footer"/>
    <w:basedOn w:val="Normal"/>
    <w:link w:val="FooterChar"/>
    <w:uiPriority w:val="99"/>
    <w:unhideWhenUsed/>
    <w:rsid w:val="00012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493"/>
  </w:style>
  <w:style w:type="paragraph" w:styleId="BalloonText">
    <w:name w:val="Balloon Text"/>
    <w:basedOn w:val="Normal"/>
    <w:link w:val="BalloonTextChar"/>
    <w:uiPriority w:val="99"/>
    <w:semiHidden/>
    <w:unhideWhenUsed/>
    <w:rsid w:val="0001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914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12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493"/>
  </w:style>
  <w:style w:type="paragraph" w:styleId="Footer">
    <w:name w:val="footer"/>
    <w:basedOn w:val="Normal"/>
    <w:link w:val="FooterChar"/>
    <w:uiPriority w:val="99"/>
    <w:unhideWhenUsed/>
    <w:rsid w:val="00012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493"/>
  </w:style>
  <w:style w:type="paragraph" w:styleId="BalloonText">
    <w:name w:val="Balloon Text"/>
    <w:basedOn w:val="Normal"/>
    <w:link w:val="BalloonTextChar"/>
    <w:uiPriority w:val="99"/>
    <w:semiHidden/>
    <w:unhideWhenUsed/>
    <w:rsid w:val="0001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F662C53F4E42D9A3912B16C29B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D7F9D-9760-4E8D-9B4C-9488E67D1BAD}"/>
      </w:docPartPr>
      <w:docPartBody>
        <w:p w:rsidR="00000000" w:rsidRDefault="00E9097D" w:rsidP="00E9097D">
          <w:pPr>
            <w:pStyle w:val="81F662C53F4E42D9A3912B16C29BEB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7D"/>
    <w:rsid w:val="003D0743"/>
    <w:rsid w:val="00E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F662C53F4E42D9A3912B16C29BEB54">
    <w:name w:val="81F662C53F4E42D9A3912B16C29BEB54"/>
    <w:rsid w:val="00E909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F662C53F4E42D9A3912B16C29BEB54">
    <w:name w:val="81F662C53F4E42D9A3912B16C29BEB54"/>
    <w:rsid w:val="00E90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and Explanation of Worksheets:                                                                        South Union Shaker Village</dc:title>
  <dc:creator>Becca</dc:creator>
  <cp:lastModifiedBy>Becca</cp:lastModifiedBy>
  <cp:revision>2</cp:revision>
  <dcterms:created xsi:type="dcterms:W3CDTF">2013-03-08T16:06:00Z</dcterms:created>
  <dcterms:modified xsi:type="dcterms:W3CDTF">2013-03-08T20:35:00Z</dcterms:modified>
</cp:coreProperties>
</file>